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F64B" w14:textId="77777777" w:rsidR="00E26F46" w:rsidRDefault="00E26F46" w:rsidP="00FC4B24">
      <w:pPr>
        <w:shd w:val="clear" w:color="auto" w:fill="FEFDFA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474746"/>
          <w:kern w:val="36"/>
          <w:sz w:val="48"/>
          <w:szCs w:val="48"/>
        </w:rPr>
      </w:pPr>
      <w:r>
        <w:rPr>
          <w:rFonts w:ascii="Arial Narrow" w:eastAsia="Times New Roman" w:hAnsi="Arial Narrow" w:cs="Times New Roman"/>
          <w:b/>
          <w:bCs/>
          <w:color w:val="474746"/>
          <w:kern w:val="36"/>
          <w:sz w:val="48"/>
          <w:szCs w:val="48"/>
        </w:rPr>
        <w:t>IACP Services</w:t>
      </w:r>
    </w:p>
    <w:p w14:paraId="78E25AA2" w14:textId="77777777" w:rsidR="00FC4B24" w:rsidRPr="00FC4B24" w:rsidRDefault="00FC4B24" w:rsidP="00FC4B24">
      <w:pPr>
        <w:shd w:val="clear" w:color="auto" w:fill="FEFDFA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474746"/>
          <w:kern w:val="36"/>
          <w:sz w:val="48"/>
          <w:szCs w:val="48"/>
        </w:rPr>
      </w:pPr>
      <w:r w:rsidRPr="00FC4B24">
        <w:rPr>
          <w:rFonts w:ascii="Arial Narrow" w:eastAsia="Times New Roman" w:hAnsi="Arial Narrow" w:cs="Times New Roman"/>
          <w:b/>
          <w:bCs/>
          <w:color w:val="474746"/>
          <w:kern w:val="36"/>
          <w:sz w:val="48"/>
          <w:szCs w:val="48"/>
        </w:rPr>
        <w:t xml:space="preserve">Life Sciences Annex </w:t>
      </w:r>
      <w:r w:rsidR="00E26F46">
        <w:rPr>
          <w:rFonts w:ascii="Arial Narrow" w:eastAsia="Times New Roman" w:hAnsi="Arial Narrow" w:cs="Times New Roman"/>
          <w:b/>
          <w:bCs/>
          <w:color w:val="474746"/>
          <w:kern w:val="36"/>
          <w:sz w:val="48"/>
          <w:szCs w:val="48"/>
        </w:rPr>
        <w:t xml:space="preserve">and </w:t>
      </w:r>
      <w:proofErr w:type="spellStart"/>
      <w:r w:rsidR="00E26F46">
        <w:rPr>
          <w:rFonts w:ascii="Arial Narrow" w:eastAsia="Times New Roman" w:hAnsi="Arial Narrow" w:cs="Times New Roman"/>
          <w:b/>
          <w:bCs/>
          <w:color w:val="474746"/>
          <w:kern w:val="36"/>
          <w:sz w:val="48"/>
          <w:szCs w:val="48"/>
        </w:rPr>
        <w:t>Manter</w:t>
      </w:r>
      <w:proofErr w:type="spellEnd"/>
      <w:r w:rsidR="00E26F46">
        <w:rPr>
          <w:rFonts w:ascii="Arial Narrow" w:eastAsia="Times New Roman" w:hAnsi="Arial Narrow" w:cs="Times New Roman"/>
          <w:b/>
          <w:bCs/>
          <w:color w:val="474746"/>
          <w:kern w:val="36"/>
          <w:sz w:val="48"/>
          <w:szCs w:val="48"/>
        </w:rPr>
        <w:t xml:space="preserve"> Hall Service Centers</w:t>
      </w:r>
    </w:p>
    <w:p w14:paraId="1EBBEC52" w14:textId="77777777" w:rsidR="00E26F46" w:rsidRDefault="00FC4B24" w:rsidP="00FC4B24">
      <w:pPr>
        <w:shd w:val="clear" w:color="auto" w:fill="FEFD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B5B5A"/>
          <w:sz w:val="24"/>
          <w:szCs w:val="24"/>
        </w:rPr>
      </w:pP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>The UNL Life Sciences Annex (</w:t>
      </w:r>
      <w:proofErr w:type="spellStart"/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>LScA</w:t>
      </w:r>
      <w:proofErr w:type="spellEnd"/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) located on east campus </w:t>
      </w:r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 xml:space="preserve">and </w:t>
      </w:r>
      <w:proofErr w:type="spellStart"/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>Manter</w:t>
      </w:r>
      <w:proofErr w:type="spellEnd"/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 xml:space="preserve"> Hall located on city campus </w:t>
      </w: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is managed by the Institutional Animal Care Program (IACP). </w:t>
      </w:r>
    </w:p>
    <w:p w14:paraId="2A65B5D2" w14:textId="0928D363" w:rsidR="00FC4B24" w:rsidRDefault="00FC4B24" w:rsidP="00FC4B24">
      <w:pPr>
        <w:shd w:val="clear" w:color="auto" w:fill="FEFD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B5B5A"/>
          <w:sz w:val="24"/>
          <w:szCs w:val="24"/>
        </w:rPr>
      </w:pP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The </w:t>
      </w:r>
      <w:proofErr w:type="spellStart"/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>LScA</w:t>
      </w:r>
      <w:proofErr w:type="spellEnd"/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 xml:space="preserve"> </w:t>
      </w: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>facility is designed to accommodate both large agricultural animals and laboratory animals</w:t>
      </w:r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 xml:space="preserve"> at a BSL2 level</w:t>
      </w: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. </w:t>
      </w:r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>This facility contains</w:t>
      </w: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 </w:t>
      </w:r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 xml:space="preserve">imaging modalities, </w:t>
      </w: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>surgery suite, a necropsy room, and procedure rooms</w:t>
      </w:r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 xml:space="preserve"> as well as the Bio</w:t>
      </w:r>
      <w:r w:rsidR="00A545FC">
        <w:rPr>
          <w:rFonts w:ascii="Georgia" w:eastAsia="Times New Roman" w:hAnsi="Georgia" w:cs="Times New Roman"/>
          <w:color w:val="5B5B5A"/>
          <w:sz w:val="24"/>
          <w:szCs w:val="24"/>
        </w:rPr>
        <w:t>medical and Obesity Research Core (</w:t>
      </w:r>
      <w:hyperlink r:id="rId5" w:history="1">
        <w:r w:rsidR="00A545FC" w:rsidRPr="00A545FC">
          <w:rPr>
            <w:rStyle w:val="Hyperlink"/>
            <w:rFonts w:ascii="Georgia" w:eastAsia="Times New Roman" w:hAnsi="Georgia" w:cs="Times New Roman"/>
            <w:sz w:val="24"/>
            <w:szCs w:val="24"/>
          </w:rPr>
          <w:t>BORC</w:t>
        </w:r>
      </w:hyperlink>
      <w:r w:rsidR="00A545FC">
        <w:rPr>
          <w:rFonts w:ascii="Georgia" w:eastAsia="Times New Roman" w:hAnsi="Georgia" w:cs="Times New Roman"/>
          <w:color w:val="5B5B5A"/>
          <w:sz w:val="24"/>
          <w:szCs w:val="24"/>
        </w:rPr>
        <w:t>)</w:t>
      </w: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>.</w:t>
      </w:r>
    </w:p>
    <w:p w14:paraId="1AFCFD54" w14:textId="77777777" w:rsidR="00E26F46" w:rsidRPr="00FC4B24" w:rsidRDefault="00E26F46" w:rsidP="00FC4B24">
      <w:pPr>
        <w:shd w:val="clear" w:color="auto" w:fill="FEFD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B5B5A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5B5B5A"/>
          <w:sz w:val="24"/>
          <w:szCs w:val="24"/>
        </w:rPr>
        <w:t>Manter</w:t>
      </w:r>
      <w:proofErr w:type="spellEnd"/>
      <w:r>
        <w:rPr>
          <w:rFonts w:ascii="Georgia" w:eastAsia="Times New Roman" w:hAnsi="Georgia" w:cs="Times New Roman"/>
          <w:color w:val="5B5B5A"/>
          <w:sz w:val="24"/>
          <w:szCs w:val="24"/>
        </w:rPr>
        <w:t xml:space="preserve"> Hall is designed to accommodate traditional laboratory animals at a BSL1 level.</w:t>
      </w:r>
    </w:p>
    <w:p w14:paraId="768F304A" w14:textId="77777777" w:rsidR="00FC4B24" w:rsidRPr="00FC4B24" w:rsidRDefault="00FC4B24" w:rsidP="00FC4B24">
      <w:pPr>
        <w:shd w:val="clear" w:color="auto" w:fill="FEFD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B5B5A"/>
          <w:sz w:val="24"/>
          <w:szCs w:val="24"/>
        </w:rPr>
      </w:pP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Daily care of animals is provided by IACP staff and per diem rates are provided below. Health care is provided by the </w:t>
      </w:r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>IACP</w:t>
      </w: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 Veterinarian</w:t>
      </w:r>
      <w:r w:rsidR="00E26F46">
        <w:rPr>
          <w:rFonts w:ascii="Georgia" w:eastAsia="Times New Roman" w:hAnsi="Georgia" w:cs="Times New Roman"/>
          <w:color w:val="5B5B5A"/>
          <w:sz w:val="24"/>
          <w:szCs w:val="24"/>
        </w:rPr>
        <w:t>s</w:t>
      </w:r>
      <w:r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 and IACP Veterinary Technician staff.</w:t>
      </w:r>
    </w:p>
    <w:p w14:paraId="24843864" w14:textId="77777777" w:rsidR="00FC4B24" w:rsidRDefault="00FC4B24" w:rsidP="00FC4B24">
      <w:pPr>
        <w:shd w:val="clear" w:color="auto" w:fill="FEFDFA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474746"/>
          <w:sz w:val="27"/>
          <w:szCs w:val="27"/>
        </w:rPr>
      </w:pPr>
      <w:hyperlink r:id="rId6" w:tgtFrame="_blank" w:history="1">
        <w:r w:rsidRPr="00FC4B24">
          <w:rPr>
            <w:rFonts w:ascii="Arial Narrow" w:eastAsia="Times New Roman" w:hAnsi="Arial Narrow" w:cs="Times New Roman"/>
            <w:b/>
            <w:bCs/>
            <w:color w:val="6A0000"/>
            <w:sz w:val="27"/>
            <w:szCs w:val="27"/>
            <w:u w:val="single"/>
          </w:rPr>
          <w:t>Life Sciences Annex Animal Per Diems</w:t>
        </w:r>
      </w:hyperlink>
      <w:bookmarkStart w:id="0" w:name="_GoBack"/>
      <w:bookmarkEnd w:id="0"/>
      <w:r w:rsidR="00E26F46">
        <w:rPr>
          <w:rFonts w:ascii="Arial Narrow" w:eastAsia="Times New Roman" w:hAnsi="Arial Narrow" w:cs="Times New Roman"/>
          <w:b/>
          <w:bCs/>
          <w:color w:val="474746"/>
          <w:sz w:val="27"/>
          <w:szCs w:val="27"/>
        </w:rPr>
        <w:t xml:space="preserve"> </w:t>
      </w:r>
    </w:p>
    <w:p w14:paraId="7F742313" w14:textId="77777777" w:rsidR="00B02036" w:rsidRDefault="00B02036" w:rsidP="00FC4B24">
      <w:pPr>
        <w:shd w:val="clear" w:color="auto" w:fill="FEFDFA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474746"/>
          <w:sz w:val="48"/>
          <w:szCs w:val="48"/>
        </w:rPr>
      </w:pPr>
      <w:r w:rsidRPr="00B02036">
        <w:rPr>
          <w:rFonts w:ascii="Arial Narrow" w:eastAsia="Times New Roman" w:hAnsi="Arial Narrow" w:cs="Times New Roman"/>
          <w:b/>
          <w:bCs/>
          <w:color w:val="474746"/>
          <w:sz w:val="48"/>
          <w:szCs w:val="48"/>
        </w:rPr>
        <w:t>Technical Support</w:t>
      </w:r>
    </w:p>
    <w:p w14:paraId="25728C6F" w14:textId="621F09C7" w:rsidR="00B02036" w:rsidRDefault="008415A3" w:rsidP="00FC4B24">
      <w:pPr>
        <w:shd w:val="clear" w:color="auto" w:fill="FEFDFA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47474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Technical support </w:t>
      </w:r>
      <w:r w:rsidR="00FA2042">
        <w:rPr>
          <w:rFonts w:ascii="Georgia" w:eastAsia="Times New Roman" w:hAnsi="Georgia" w:cs="Times New Roman"/>
          <w:bCs/>
          <w:color w:val="474746"/>
          <w:sz w:val="24"/>
          <w:szCs w:val="24"/>
        </w:rPr>
        <w:t>is offered by</w:t>
      </w:r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 the</w:t>
      </w:r>
      <w:r w:rsidR="00FA2042"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 IACP staff and includes</w:t>
      </w:r>
      <w:r w:rsidR="00B02036" w:rsidRPr="00B02036"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 tissue and blood collection, anesthesia machine assistance,</w:t>
      </w:r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 surgical support,</w:t>
      </w:r>
      <w:r w:rsidR="00B02036" w:rsidRPr="00B02036"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staff </w:t>
      </w:r>
      <w:r w:rsidR="00B02036" w:rsidRPr="00B02036">
        <w:rPr>
          <w:rFonts w:ascii="Georgia" w:eastAsia="Times New Roman" w:hAnsi="Georgia" w:cs="Times New Roman"/>
          <w:bCs/>
          <w:color w:val="474746"/>
          <w:sz w:val="24"/>
          <w:szCs w:val="24"/>
        </w:rPr>
        <w:t>training, animal transportation, and many more procedures.</w:t>
      </w:r>
      <w:r w:rsidR="00B02036"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 </w:t>
      </w:r>
    </w:p>
    <w:p w14:paraId="368253F8" w14:textId="77777777" w:rsidR="008415A3" w:rsidRDefault="008415A3" w:rsidP="00FC4B24">
      <w:pPr>
        <w:shd w:val="clear" w:color="auto" w:fill="FEFDFA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47474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>Available imaging equipment includes digital x-ray, PEARL® imager, and other specialized equipment available through the BORC center. MRI services can be arranged through the IACP office.</w:t>
      </w:r>
    </w:p>
    <w:p w14:paraId="40DC1C2C" w14:textId="77777777" w:rsidR="008415A3" w:rsidRPr="008415A3" w:rsidRDefault="008415A3" w:rsidP="008415A3">
      <w:pPr>
        <w:shd w:val="clear" w:color="auto" w:fill="FEFDFA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47474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Other equipment is available, such as surgical microscope, </w:t>
      </w:r>
      <w:proofErr w:type="spellStart"/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>Physiosuite</w:t>
      </w:r>
      <w:proofErr w:type="spellEnd"/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®, </w:t>
      </w:r>
      <w:proofErr w:type="spellStart"/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>sterotactic</w:t>
      </w:r>
      <w:proofErr w:type="spellEnd"/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 xml:space="preserve"> equipment, gnotobiotic isolators, autoclave services, biosafety cabinets, etc.</w:t>
      </w:r>
    </w:p>
    <w:p w14:paraId="57319DF9" w14:textId="77777777" w:rsidR="008415A3" w:rsidRDefault="008415A3" w:rsidP="00FC4B24">
      <w:pPr>
        <w:shd w:val="clear" w:color="auto" w:fill="FEFDFA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color w:val="47474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474746"/>
          <w:sz w:val="24"/>
          <w:szCs w:val="24"/>
        </w:rPr>
        <w:t>UNL IACP works closely with UNL’s Veterinary Diagnostic Center and collaborates with UNMC.</w:t>
      </w:r>
    </w:p>
    <w:p w14:paraId="61CA2068" w14:textId="6E291A9E" w:rsidR="00FA2042" w:rsidRPr="00FC4B24" w:rsidRDefault="00664809" w:rsidP="00FA2042">
      <w:pPr>
        <w:shd w:val="clear" w:color="auto" w:fill="FEFD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B5B5A"/>
          <w:sz w:val="24"/>
          <w:szCs w:val="24"/>
        </w:rPr>
      </w:pPr>
      <w:r>
        <w:rPr>
          <w:rFonts w:ascii="Georgia" w:eastAsia="Times New Roman" w:hAnsi="Georgia" w:cs="Times New Roman"/>
          <w:color w:val="5B5B5A"/>
          <w:sz w:val="24"/>
          <w:szCs w:val="24"/>
        </w:rPr>
        <w:t>Scheduled use of</w:t>
      </w:r>
      <w:r w:rsidR="00FA2042">
        <w:rPr>
          <w:rFonts w:ascii="Georgia" w:eastAsia="Times New Roman" w:hAnsi="Georgia" w:cs="Times New Roman"/>
          <w:color w:val="5B5B5A"/>
          <w:sz w:val="24"/>
          <w:szCs w:val="24"/>
        </w:rPr>
        <w:t xml:space="preserve"> facilities </w:t>
      </w:r>
      <w:r>
        <w:rPr>
          <w:rFonts w:ascii="Georgia" w:eastAsia="Times New Roman" w:hAnsi="Georgia" w:cs="Times New Roman"/>
          <w:color w:val="5B5B5A"/>
          <w:sz w:val="24"/>
          <w:szCs w:val="24"/>
        </w:rPr>
        <w:t xml:space="preserve">and services </w:t>
      </w:r>
      <w:r w:rsidR="00FA2042">
        <w:rPr>
          <w:rFonts w:ascii="Georgia" w:eastAsia="Times New Roman" w:hAnsi="Georgia" w:cs="Times New Roman"/>
          <w:color w:val="5B5B5A"/>
          <w:sz w:val="24"/>
          <w:szCs w:val="24"/>
        </w:rPr>
        <w:t>are</w:t>
      </w:r>
      <w:r w:rsidR="00FA2042"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 arranged through the IACP office. Please contact Kelly Heath</w:t>
      </w:r>
      <w:r w:rsidR="00FA2042">
        <w:rPr>
          <w:rFonts w:ascii="Georgia" w:eastAsia="Times New Roman" w:hAnsi="Georgia" w:cs="Times New Roman"/>
          <w:color w:val="5B5B5A"/>
          <w:sz w:val="24"/>
          <w:szCs w:val="24"/>
        </w:rPr>
        <w:t xml:space="preserve"> </w:t>
      </w:r>
      <w:hyperlink r:id="rId7" w:history="1">
        <w:r w:rsidR="00FA2042" w:rsidRPr="00FC4B24">
          <w:rPr>
            <w:rFonts w:ascii="Georgia" w:eastAsia="Times New Roman" w:hAnsi="Georgia" w:cs="Times New Roman"/>
            <w:color w:val="6A0000"/>
            <w:sz w:val="24"/>
            <w:szCs w:val="24"/>
            <w:u w:val="single"/>
          </w:rPr>
          <w:t>kheath3@unl.edu</w:t>
        </w:r>
      </w:hyperlink>
      <w:r w:rsidR="00FA2042" w:rsidRPr="00FC4B24">
        <w:rPr>
          <w:rFonts w:ascii="Georgia" w:eastAsia="Times New Roman" w:hAnsi="Georgia" w:cs="Times New Roman"/>
          <w:color w:val="5B5B5A"/>
          <w:sz w:val="24"/>
          <w:szCs w:val="24"/>
        </w:rPr>
        <w:t> </w:t>
      </w:r>
      <w:r w:rsidR="00FA2042">
        <w:rPr>
          <w:rFonts w:ascii="Georgia" w:eastAsia="Times New Roman" w:hAnsi="Georgia" w:cs="Times New Roman"/>
          <w:color w:val="5B5B5A"/>
          <w:sz w:val="24"/>
          <w:szCs w:val="24"/>
        </w:rPr>
        <w:t>to discuss your specific requests</w:t>
      </w:r>
      <w:r w:rsidR="00FA2042" w:rsidRPr="00FC4B24">
        <w:rPr>
          <w:rFonts w:ascii="Georgia" w:eastAsia="Times New Roman" w:hAnsi="Georgia" w:cs="Times New Roman"/>
          <w:color w:val="5B5B5A"/>
          <w:sz w:val="24"/>
          <w:szCs w:val="24"/>
        </w:rPr>
        <w:t xml:space="preserve"> for research animal housing, surgery and related needs.</w:t>
      </w:r>
    </w:p>
    <w:p w14:paraId="25863911" w14:textId="77777777" w:rsidR="00220C5E" w:rsidRDefault="00FB68CF"/>
    <w:sectPr w:rsidR="0022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B1290"/>
    <w:multiLevelType w:val="hybridMultilevel"/>
    <w:tmpl w:val="3E92B518"/>
    <w:lvl w:ilvl="0" w:tplc="F4027A02">
      <w:start w:val="30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24"/>
    <w:rsid w:val="002340AC"/>
    <w:rsid w:val="00664809"/>
    <w:rsid w:val="008361EC"/>
    <w:rsid w:val="008415A3"/>
    <w:rsid w:val="00A545FC"/>
    <w:rsid w:val="00B02036"/>
    <w:rsid w:val="00E26F46"/>
    <w:rsid w:val="00EA0015"/>
    <w:rsid w:val="00FA2042"/>
    <w:rsid w:val="00FB68CF"/>
    <w:rsid w:val="00FC4B24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45ED"/>
  <w15:chartTrackingRefBased/>
  <w15:docId w15:val="{0613EBC7-46E9-4534-83F1-B5B2698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4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4B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B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4B24"/>
  </w:style>
  <w:style w:type="character" w:styleId="CommentReference">
    <w:name w:val="annotation reference"/>
    <w:basedOn w:val="DefaultParagraphFont"/>
    <w:uiPriority w:val="99"/>
    <w:semiHidden/>
    <w:unhideWhenUsed/>
    <w:rsid w:val="00E2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F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148">
          <w:marLeft w:val="4567"/>
          <w:marRight w:val="4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590">
          <w:marLeft w:val="4567"/>
          <w:marRight w:val="4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eath3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unl.edu/orr/docs/LScAServiceCenterPerDiems%20(2).xlsx" TargetMode="External"/><Relationship Id="rId5" Type="http://schemas.openxmlformats.org/officeDocument/2006/relationships/hyperlink" Target="http://cehs.unl.edu/npod/biomedical-and-obesity-research-core-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Kreikemeier-Bower</dc:creator>
  <cp:keywords/>
  <dc:description/>
  <cp:lastModifiedBy>corey svehla</cp:lastModifiedBy>
  <cp:revision>3</cp:revision>
  <dcterms:created xsi:type="dcterms:W3CDTF">2017-01-24T20:06:00Z</dcterms:created>
  <dcterms:modified xsi:type="dcterms:W3CDTF">2018-06-05T18:58:00Z</dcterms:modified>
</cp:coreProperties>
</file>